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Обзор модели сети TCP/IP </w:t>
      </w:r>
    </w:p>
    <w:p w:rsidR="00771DD7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Модель TCP/IP описывает множество протоколов, позволяющих взаимодействовать компьютерам. Подробное описание протоколов, входящих в стандартный набор TCP/IP, представлено в документах, которые называются запросами на комментарии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Requests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RFC). (Вы можете найти документы RFC, используя любой сетевой поисковый механизм.) Модель TCP/IP не дублирует работу, уже проделанную другими организациями по стандартизации или консорциумом производителей, просто ссылаясь на соответствующий стандарт или протокол, созданный этими группами. Например, Институт инженеров по электротехнике и электронике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Engineers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IEEE) определяет локальные сети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Ethemet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; поэтому модель TCP/IP не определяет сети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Ethemet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в своих запросах на комментарии, а ссылается на документы IEEE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. Компьютер, использующий протоколы TCP/IP, можно сравнить с обычным телефоном. Можно пойти в магазин,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торгуюший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бытовой техникой, и купить телефонный аппарат какой угодно модели и производителя. Тем не менее, если принести его домой и включить в телефонную розетку тем же самым кабелем, каким был подключен старый аппарат, новый телефон будет работать. Производители телефонов знают стандарты телефонии для своей страны и производят телефоны в соответствии с ними. Аналогично, когда вы покупаете новый компьютер, он, по сути, уже реализует модель TCP/IP, чтобы вы могли взять соответствующие кабели и подключить компьютер к сети. Теперь вы можете использовать веб-браузер для просмотра своего любимого веб-сайта. Почему? Операционная система на компьютере реализует части модели TCP/IP. Встроенная в компьютер плата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или плата беспроводной сети реализует некоторые стандарты LAN, используемые моделью TCP/IP. Короче говоря, производители, которые создали аппаратные средства и программное обеспечение, реализовали модель TCP/IP.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Чтобы упростить изучение сетевых моделей, каждая из них разделена на несколько функциональных разделов, называемых уровнями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). Каждый уровень включает протоколы и стандарты, относящиеся к данному функциональному разделу. Фактически есть две альтернативные модели ТСР /IP, как показано на рис. 1.4.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4BB2EFA" wp14:editId="00007EA3">
            <wp:extent cx="381000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Слева представлена первоначальная модель TCP/IP, описанная в документе RFC 1122. Она подразумевает четыре уровня. Два верхних уровня сосредоточены больше на приложениях, которые должны передавать и получить данные. Нижние уровни сосредоточены на передаче битов по каналу связи, где уровень Интернета осуществляет передачу данных по всему пути от отправляющего компьютера на компьютер конечного получателя. Справа представлена используемая в настоящее время общепринятая модель, дополнительные уровни которой сформированы за счет разделения канального уровня первоначальной модели на два отдельных уровня: канала связи и физического (подобно двум нижним уровням модели OSI). Обратите внимание: модель справа сейчас используется чаще.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Большинство из вас уже слышали о некоторых протоколах TCP/IP, таких как перечисленные в табл. l. l. Более подробная информация о большинстве протоколов и стандартов, перечисленных в этой таблице, приведена далее в книге. Ниже уровни модели TCP/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lP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рассматриваются подробнее. 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Таблица 1.1. 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Структурная модель ТСР/ IP и примеры протоколов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292B" w:rsidRPr="00DD657E" w:rsidTr="0009292B">
        <w:tc>
          <w:tcPr>
            <w:tcW w:w="4672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Уровень модели ТСР /IP</w:t>
            </w:r>
          </w:p>
        </w:tc>
        <w:tc>
          <w:tcPr>
            <w:tcW w:w="4673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Примеры протоколов</w:t>
            </w:r>
          </w:p>
        </w:tc>
      </w:tr>
      <w:tr w:rsidR="0009292B" w:rsidRPr="00DD657E" w:rsidTr="0009292B">
        <w:tc>
          <w:tcPr>
            <w:tcW w:w="4672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Приложений</w:t>
            </w:r>
          </w:p>
        </w:tc>
        <w:tc>
          <w:tcPr>
            <w:tcW w:w="4673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НТТР</w:t>
            </w: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РОРЗ</w:t>
            </w: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SMTP</w:t>
            </w:r>
          </w:p>
        </w:tc>
      </w:tr>
      <w:tr w:rsidR="0009292B" w:rsidRPr="00DD657E" w:rsidTr="0009292B">
        <w:tc>
          <w:tcPr>
            <w:tcW w:w="4672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Транспортный</w:t>
            </w:r>
          </w:p>
        </w:tc>
        <w:tc>
          <w:tcPr>
            <w:tcW w:w="4673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ТСР</w:t>
            </w: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UDP</w:t>
            </w:r>
          </w:p>
        </w:tc>
      </w:tr>
      <w:tr w:rsidR="0009292B" w:rsidRPr="00DD657E" w:rsidTr="0009292B">
        <w:tc>
          <w:tcPr>
            <w:tcW w:w="4672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Интернета</w:t>
            </w:r>
          </w:p>
        </w:tc>
        <w:tc>
          <w:tcPr>
            <w:tcW w:w="4673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</w:p>
        </w:tc>
      </w:tr>
      <w:tr w:rsidR="0009292B" w:rsidRPr="00DD657E" w:rsidTr="0009292B">
        <w:tc>
          <w:tcPr>
            <w:tcW w:w="4672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Доступа к сети</w:t>
            </w:r>
          </w:p>
        </w:tc>
        <w:tc>
          <w:tcPr>
            <w:tcW w:w="4673" w:type="dxa"/>
          </w:tcPr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Ethernet, Point-to-Point Protocol (</w:t>
            </w: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РРР</w:t>
            </w: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 w:rsidRPr="00DD65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D6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/1</w:t>
            </w:r>
          </w:p>
          <w:p w:rsidR="0009292B" w:rsidRPr="00DD657E" w:rsidRDefault="0009292B" w:rsidP="00DD65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Уровень приложений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DD657E">
        <w:rPr>
          <w:rFonts w:ascii="Times New Roman" w:hAnsi="Times New Roman" w:cs="Times New Roman"/>
          <w:sz w:val="28"/>
          <w:szCs w:val="28"/>
        </w:rPr>
        <w:t>/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Уровень приложений стека ТСР /1 Р предоставляет службы приложениям и программному обеспечению, работающему на компьютере. Сам он не определяет требования непосредственно к приложениям, а стандартизирует </w:t>
      </w:r>
      <w:r w:rsidRPr="00DD657E">
        <w:rPr>
          <w:rFonts w:ascii="Times New Roman" w:hAnsi="Times New Roman" w:cs="Times New Roman"/>
          <w:sz w:val="28"/>
          <w:szCs w:val="28"/>
        </w:rPr>
        <w:lastRenderedPageBreak/>
        <w:t>службы, которые могут понадобиться приложениям. Например, протокол уровня приложений НТТР (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Hypertext</w:t>
      </w:r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DD657E">
        <w:rPr>
          <w:rFonts w:ascii="Times New Roman" w:hAnsi="Times New Roman" w:cs="Times New Roman"/>
          <w:sz w:val="28"/>
          <w:szCs w:val="28"/>
          <w:lang w:val="en-US"/>
        </w:rPr>
        <w:t>sfer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Protocol</w:t>
      </w:r>
      <w:r w:rsidRPr="00DD657E">
        <w:rPr>
          <w:rFonts w:ascii="Times New Roman" w:hAnsi="Times New Roman" w:cs="Times New Roman"/>
          <w:sz w:val="28"/>
          <w:szCs w:val="28"/>
        </w:rPr>
        <w:t xml:space="preserve"> - протокол передачи гипертекста) определяет, как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веббраузер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может запрашивать содержимое веб-страницы с веб-сервера. Другими словами, уровень приложений представляет собой интерфейс между программным обеспечением компьютера и сетью. Вероятно, наиболее популярным приложением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DD657E">
        <w:rPr>
          <w:rFonts w:ascii="Times New Roman" w:hAnsi="Times New Roman" w:cs="Times New Roman"/>
          <w:sz w:val="28"/>
          <w:szCs w:val="28"/>
        </w:rPr>
        <w:t>/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на сегодняшний день является веб-браузер. Многие компании уже поменяли или как раз меняют свое программное обеспечение таким образом, чтобы с ним можно было работать через веб-браузер. К счастью, работать с браузером исключительно просто - нужно всего лишь запустить его на компьютере, потом набрать адрес веб-сайта в строке ввода адреса, и в окне программы появится ожидаемая веб-страница.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Краткий обзор протокола НТТР 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Что же в действительности происходит, когда веб-страница появляется в окне браузера? Предположим, Боб запустил на своем компьютере веб-браузер. Браузер настроен таким образом, что он сразу обращается к стандартной странице веб-сервера его друга Ларри, или, другими словами, к его домашней странице. Схема работы браузера и сервера приведена на рис. 1.5.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311946" wp14:editId="180467C2">
            <wp:extent cx="5133975" cy="1762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Первоначальный запрос от программного обеспечения компьютера Боба запрашивает сервер Ларри об отправке домашней страницы браузеру Боба. Веб-сервер Ларри настроен таким образом, что страница </w:t>
      </w:r>
      <w:proofErr w:type="spellStart"/>
      <w:proofErr w:type="gramStart"/>
      <w:r w:rsidRPr="00DD657E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является стандартной и в ней содержится домашняя страница Ларри. Программное обеспечение компьютера Боба получает файл страницы от сервера Ларри, и браузер корректно отображает его в своем окне. Этот пример демонстрирует, как приложения конечной точки (а именно приложение веб-браузера и приложение веб-сервера) используют уровень приложений протокола TCP/IP. Чтобы запросить веб-страницу и возвратить ее содержимое, приложения используют протокол передачи гипертекста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Hypertext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НТТР). Протокол НТТР появился в начале 1990-х годов, когда Тим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Бернерс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-Ли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Berners-Lee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) создал первый веб-браузер и веб-сервер.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Бернерс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-Ли придал протоколу НТТР возможность запрашивать содержимое веб-страниц, а именно способность веб-браузера запрашивать файлы у сервера, и </w:t>
      </w:r>
      <w:r w:rsidRPr="00DD657E">
        <w:rPr>
          <w:rFonts w:ascii="Times New Roman" w:hAnsi="Times New Roman" w:cs="Times New Roman"/>
          <w:sz w:val="28"/>
          <w:szCs w:val="28"/>
        </w:rPr>
        <w:lastRenderedPageBreak/>
        <w:t>предоставил серверу возможность возвращать содержимое этих файлов. Общая логика соответствует тому, что изображено на рис. 1.5; а рис. 1.6 демонстрирует ту же идею, но с подробностями, специфическими для протокола НТТР.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7DDB97" wp14:editId="2C107A18">
            <wp:extent cx="5314950" cy="1838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Чтобы получить веб-страницу от сервера Ларри (этап 1), Боб пересылает сообщение с заголовком НТТР. Как правило, протоколы используют заголовки как место для размещения используемой ими служебной информации. Этот заголовок НТТР содержит запрос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(получить) на получение нужного файла. Обычно такой запрос содержит также имя файла (в данном случае </w:t>
      </w:r>
      <w:proofErr w:type="spellStart"/>
      <w:proofErr w:type="gramStart"/>
      <w:r w:rsidRPr="00DD657E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), а если имя файла отсутствует, то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вебсервер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предполагает, что запрашивается стандартная веб-страница. Этап 2 на рис. 1.6 демонстрирует ответ веб-сервера Ларри. Сообщение начинается с заголовка НТТР с кодом возврата (200), означающим нечто столь же простое, как "ОК". Протокол НТТР определяет также другие коды возврата, таким образом, сервер может указать браузеру, сработал ли запрос. (Еще один пример: при обращении к веб-странице, которая была не найдена, получаешь ошибку НТТР 404 "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", т.е. передается код возврата НТТР 404.) Второе сообщение включает также первую часть затребованного файла. Ответ от сервера Ларри также содержит инструкцию НТТР, в заголовке которой написано что-то вроде "ОК". Ответ всегда содержит код в заголовке, который указывает запрашивающей стороне, может ли быть выполнен запрос. Например, если серверу приходит запрос на страницу, которая не существует, браузер получит сообщение НТТР с кодом ошибки 404, "страница не найдена". Если же запрашиваемый файл был найден, то в ответ сервер передаст сообщение с кодом 200, который свидетельствует о том, что все в порядке, и выполняется дальнейшая обработка запроса. Этап 3 на рис. 1.6 демонстрирует еще одно сообщение веб-сервера Ларри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веббраузеру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Боба, но на сей раз без заголовка НТТР. Данные по протоколу НТТР передаются при посылке нескольких сообщений, каждое с частью файла. Чтобы не тратить впустую пространство при повторной посылке заголовков НТТР, содержащих ту же информацию, эти последующие сообщения просто опускают заголовок.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lastRenderedPageBreak/>
        <w:t>Транспортный уровень TCP/IP Хотя в модели TCP/IP существует множество протоколов уровня приложений, его транспортный уровень содержит меньше протоколов. Двумя наиболее популярными протоколами транспортного уровня модели ТСР /1 Р являются протокол управления передачей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ТСР) и протокол пользовательских дейтаграмм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Datagram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- UDP). Протоколы транспортного уровня предоставляют службы протоколам уровня приложений, которые в модели TCP/IP располагаются на один уровень выше. Как протокол транспортного уровня предоставляет службы протоколу более высокого уровня? В этом разделе рассматриваются общие концепции на примере одной из служб, предоставляемой протоколом ТСР: восстановление при ошибках. В последующих главах транспортный уровень исследуется более подробно и рассматривается куда больше его функций. Основы восстановления при ошибках протокола ТСР Чтобы представить себе, что именно делает транспортный уровень, нужно сначала обратиться к верхнему уровню, а именно к уровню приложений. Зачем? Каждый уровень многоуровневой модели предоставляет некоторые службы вышестоящему уровню, - так протокол ТСР уровня приложений предоставляет службу восстановления при ошибках. Например, как показано на рис. 1.5, Боб и Ларри используют протокол НТТР для пересылки веб-страницы с веб-сервера на веб-браузер. А что произойдет, если, например, запрос на получение страницы от Боба потеряется где-то по пути? Или ответ от сервера Ларри, содержащий текст веб-страницы, не будет получен? В любом из указанных случаев информация не появится в браузере Боба. Итак, стеку TCP/IP нужен механизм гарантированной доставки данных в компьютерной сети. Поскольку многим приложениям потребуется такая возможность, создатели протокола ТСР включили в него возможность восстановления при ошибках. Для восстановления после ошибок протокол ТСР использует концепцию подтверждений. На рис. 1.7 показана основная идея того, как протокол ТСР замечает потерю данных и запрашивает у отправителя их повторную передачу.</w:t>
      </w:r>
    </w:p>
    <w:p w:rsidR="0009292B" w:rsidRPr="00DD657E" w:rsidRDefault="0009292B" w:rsidP="00DD6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EFE6127" wp14:editId="79C32F96">
            <wp:extent cx="5924550" cy="2305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57E">
        <w:rPr>
          <w:rFonts w:ascii="Times New Roman" w:hAnsi="Times New Roman" w:cs="Times New Roman"/>
          <w:sz w:val="28"/>
          <w:szCs w:val="28"/>
        </w:rPr>
        <w:t xml:space="preserve">Как показано на рис. 1.7, веб-сервер Ларри посылает веб-страницу на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lastRenderedPageBreak/>
        <w:t>веббраузер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Боба, используя три отдельных сообщения. Обратите внимание: здесь представлены те же заголовки НТТР, что и на рис. 1.6, а также заголовок ТСР. Заголовок ТСР демонстрирует порядковый номер (SEQ) каждого сообщения. На этом примере показано: в сети есть некая проблема, не позволившая доставить сообщение ТСР (называемое сегментом) с порядковым номером 2. Когда Боб получает сообщения с порядковыми номерами 1 и 3, но не получает сообщения с порядковым номером 2, он понимает, что сообщение 2 было потеряно. Согласно этой логике реализации протокола ТСР, он запрашивает у сервера Ларри повторную передачу сообщения 2.</w:t>
      </w:r>
      <w:bookmarkStart w:id="0" w:name="_GoBack"/>
      <w:bookmarkEnd w:id="0"/>
    </w:p>
    <w:sectPr w:rsidR="0009292B" w:rsidRPr="00DD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B"/>
    <w:rsid w:val="0009292B"/>
    <w:rsid w:val="000A50DE"/>
    <w:rsid w:val="00771DD7"/>
    <w:rsid w:val="00D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EF50"/>
  <w15:chartTrackingRefBased/>
  <w15:docId w15:val="{B4ED8BB7-38ED-4A5F-BC5E-4A44EC10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2022-01-23T11:25:00Z</dcterms:created>
  <dcterms:modified xsi:type="dcterms:W3CDTF">2022-01-23T11:56:00Z</dcterms:modified>
</cp:coreProperties>
</file>